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027BCDB" w:rsidR="0039275E" w:rsidRPr="00AE4E6B" w:rsidRDefault="00B32895">
      <w:pPr>
        <w:tabs>
          <w:tab w:val="left" w:pos="677"/>
          <w:tab w:val="left" w:pos="1448"/>
        </w:tabs>
        <w:rPr>
          <w:rFonts w:eastAsia="Arial"/>
        </w:rPr>
      </w:pPr>
      <w:r w:rsidRPr="00AE4E6B">
        <w:rPr>
          <w:rFonts w:eastAsia="Arial"/>
        </w:rPr>
        <w:fldChar w:fldCharType="begin"/>
      </w:r>
      <w:r w:rsidRPr="00AE4E6B">
        <w:rPr>
          <w:rFonts w:eastAsia="Arial"/>
        </w:rPr>
        <w:instrText xml:space="preserve"> DATE \@ "MMMM d, yyyy" </w:instrText>
      </w:r>
      <w:r w:rsidRPr="00AE4E6B">
        <w:rPr>
          <w:rFonts w:eastAsia="Arial"/>
        </w:rPr>
        <w:fldChar w:fldCharType="separate"/>
      </w:r>
      <w:r w:rsidR="00D741C8">
        <w:rPr>
          <w:rFonts w:eastAsia="Arial"/>
          <w:noProof/>
        </w:rPr>
        <w:t>March 21, 2024</w:t>
      </w:r>
      <w:r w:rsidRPr="00AE4E6B">
        <w:rPr>
          <w:rFonts w:eastAsia="Arial"/>
        </w:rPr>
        <w:fldChar w:fldCharType="end"/>
      </w:r>
    </w:p>
    <w:p w14:paraId="00000003" w14:textId="77777777" w:rsidR="0039275E" w:rsidRPr="00AE4E6B" w:rsidRDefault="0039275E">
      <w:pPr>
        <w:tabs>
          <w:tab w:val="left" w:pos="677"/>
          <w:tab w:val="left" w:pos="1448"/>
        </w:tabs>
        <w:jc w:val="both"/>
        <w:rPr>
          <w:rFonts w:eastAsia="Arial"/>
        </w:rPr>
      </w:pPr>
    </w:p>
    <w:p w14:paraId="00000004" w14:textId="603CF947" w:rsidR="0039275E" w:rsidRPr="00AE4E6B" w:rsidRDefault="00DE145E">
      <w:pPr>
        <w:rPr>
          <w:rFonts w:eastAsia="Arial"/>
        </w:rPr>
      </w:pPr>
      <w:r w:rsidRPr="00AE4E6B">
        <w:rPr>
          <w:rFonts w:eastAsia="Arial"/>
        </w:rPr>
        <w:t xml:space="preserve">The Honorable </w:t>
      </w:r>
      <w:r w:rsidR="006361FA">
        <w:rPr>
          <w:rFonts w:eastAsia="Arial"/>
        </w:rPr>
        <w:t>Catherine Blakespear</w:t>
      </w:r>
      <w:r w:rsidRPr="00AE4E6B">
        <w:rPr>
          <w:rFonts w:eastAsia="Arial"/>
        </w:rPr>
        <w:tab/>
      </w:r>
    </w:p>
    <w:p w14:paraId="00000005" w14:textId="3A93A81F" w:rsidR="0039275E" w:rsidRPr="00AE4E6B" w:rsidRDefault="00DE145E">
      <w:pPr>
        <w:rPr>
          <w:rFonts w:eastAsia="Arial"/>
        </w:rPr>
      </w:pPr>
      <w:r w:rsidRPr="00AE4E6B">
        <w:rPr>
          <w:rFonts w:eastAsia="Arial"/>
        </w:rPr>
        <w:t xml:space="preserve">Member of the California State </w:t>
      </w:r>
      <w:r w:rsidR="006361FA">
        <w:rPr>
          <w:rFonts w:eastAsia="Arial"/>
        </w:rPr>
        <w:t>Senate</w:t>
      </w:r>
    </w:p>
    <w:p w14:paraId="00000006" w14:textId="77777777" w:rsidR="0039275E" w:rsidRPr="00AE4E6B" w:rsidRDefault="00DE145E">
      <w:pPr>
        <w:rPr>
          <w:rFonts w:eastAsia="Arial"/>
        </w:rPr>
      </w:pPr>
      <w:r w:rsidRPr="00AE4E6B">
        <w:rPr>
          <w:rFonts w:eastAsia="Arial"/>
        </w:rPr>
        <w:t>California State Capitol</w:t>
      </w:r>
      <w:r w:rsidRPr="00AE4E6B">
        <w:rPr>
          <w:rFonts w:eastAsia="Arial"/>
          <w:color w:val="0000FF"/>
        </w:rPr>
        <w:t xml:space="preserve"> </w:t>
      </w:r>
    </w:p>
    <w:p w14:paraId="00000007" w14:textId="77777777" w:rsidR="0039275E" w:rsidRPr="00AE4E6B" w:rsidRDefault="00DE145E">
      <w:pPr>
        <w:rPr>
          <w:rFonts w:eastAsia="Arial"/>
        </w:rPr>
      </w:pPr>
      <w:r w:rsidRPr="00AE4E6B">
        <w:rPr>
          <w:rFonts w:eastAsia="Arial"/>
        </w:rPr>
        <w:t>Sacramento, CA 95814</w:t>
      </w:r>
    </w:p>
    <w:p w14:paraId="00000008" w14:textId="77777777" w:rsidR="0039275E" w:rsidRPr="00AE4E6B" w:rsidRDefault="0039275E">
      <w:pPr>
        <w:jc w:val="right"/>
        <w:rPr>
          <w:rFonts w:eastAsia="Arial"/>
        </w:rPr>
      </w:pPr>
    </w:p>
    <w:p w14:paraId="00000009" w14:textId="5B6C5282" w:rsidR="0039275E" w:rsidRPr="00AE4E6B" w:rsidRDefault="00DE145E">
      <w:pPr>
        <w:rPr>
          <w:rFonts w:eastAsia="Arial"/>
          <w:b/>
        </w:rPr>
      </w:pPr>
      <w:r w:rsidRPr="00AE4E6B">
        <w:rPr>
          <w:rFonts w:eastAsia="Arial"/>
          <w:b/>
        </w:rPr>
        <w:t xml:space="preserve">Re: </w:t>
      </w:r>
      <w:r w:rsidR="00181D09">
        <w:rPr>
          <w:rFonts w:eastAsia="Arial"/>
          <w:b/>
        </w:rPr>
        <w:tab/>
      </w:r>
      <w:r w:rsidRPr="00AE4E6B">
        <w:rPr>
          <w:rFonts w:eastAsia="Arial"/>
          <w:b/>
        </w:rPr>
        <w:t xml:space="preserve">Support for </w:t>
      </w:r>
      <w:r w:rsidR="000C5D5A">
        <w:rPr>
          <w:rFonts w:eastAsia="Arial"/>
          <w:b/>
        </w:rPr>
        <w:t>SB 1196 (Blakespear) End of Life Option Act</w:t>
      </w:r>
    </w:p>
    <w:p w14:paraId="0000000A" w14:textId="77777777" w:rsidR="0039275E" w:rsidRPr="00AE4E6B" w:rsidRDefault="0039275E">
      <w:pPr>
        <w:rPr>
          <w:rFonts w:eastAsia="Arial"/>
        </w:rPr>
      </w:pPr>
    </w:p>
    <w:p w14:paraId="0000000B" w14:textId="21FE93B0" w:rsidR="0039275E" w:rsidRPr="00AE4E6B" w:rsidRDefault="00DE145E">
      <w:pPr>
        <w:rPr>
          <w:rFonts w:eastAsia="Arial"/>
        </w:rPr>
      </w:pPr>
      <w:r w:rsidRPr="00AE4E6B">
        <w:rPr>
          <w:rFonts w:eastAsia="Arial"/>
        </w:rPr>
        <w:t xml:space="preserve">Dear </w:t>
      </w:r>
      <w:r w:rsidR="006E466E">
        <w:rPr>
          <w:rFonts w:eastAsia="Arial"/>
        </w:rPr>
        <w:t>Senator Blakespear</w:t>
      </w:r>
      <w:r w:rsidRPr="00AE4E6B">
        <w:rPr>
          <w:rFonts w:eastAsia="Arial"/>
        </w:rPr>
        <w:t xml:space="preserve">: </w:t>
      </w:r>
    </w:p>
    <w:p w14:paraId="0000000C" w14:textId="77777777" w:rsidR="0039275E" w:rsidRPr="00AE4E6B" w:rsidRDefault="0039275E">
      <w:pPr>
        <w:rPr>
          <w:rFonts w:eastAsia="Arial"/>
        </w:rPr>
      </w:pPr>
    </w:p>
    <w:p w14:paraId="3EDF485B" w14:textId="45B2363C" w:rsidR="002F3490" w:rsidRPr="00AE4E6B" w:rsidRDefault="00FC2D8D" w:rsidP="00063971">
      <w:pPr>
        <w:pStyle w:val="Body"/>
        <w:jc w:val="both"/>
        <w:rPr>
          <w:rFonts w:cs="Times New Roman"/>
        </w:rPr>
      </w:pPr>
      <w:r w:rsidRPr="00AE4E6B">
        <w:rPr>
          <w:rFonts w:cs="Times New Roman"/>
        </w:rPr>
        <w:t xml:space="preserve">I write in strong </w:t>
      </w:r>
      <w:r w:rsidR="00F264E1" w:rsidRPr="00AE4E6B">
        <w:rPr>
          <w:rFonts w:cs="Times New Roman"/>
        </w:rPr>
        <w:t>support</w:t>
      </w:r>
      <w:r w:rsidRPr="00AE4E6B">
        <w:rPr>
          <w:rFonts w:cs="Times New Roman"/>
        </w:rPr>
        <w:t xml:space="preserve"> of</w:t>
      </w:r>
      <w:r w:rsidR="000C5D5A">
        <w:rPr>
          <w:rFonts w:cs="Times New Roman"/>
        </w:rPr>
        <w:t xml:space="preserve"> SB 1196</w:t>
      </w:r>
      <w:r w:rsidR="00924CBE" w:rsidRPr="00AE4E6B">
        <w:rPr>
          <w:rFonts w:cs="Times New Roman"/>
        </w:rPr>
        <w:t>.</w:t>
      </w:r>
      <w:r w:rsidR="000C5D5A">
        <w:rPr>
          <w:rFonts w:cs="Times New Roman"/>
        </w:rPr>
        <w:t xml:space="preserve"> This proposal will </w:t>
      </w:r>
      <w:r w:rsidR="00F1328B">
        <w:rPr>
          <w:rFonts w:cs="Times New Roman"/>
        </w:rPr>
        <w:t xml:space="preserve">modify </w:t>
      </w:r>
      <w:r w:rsidR="000C5D5A">
        <w:rPr>
          <w:rFonts w:cs="Times New Roman"/>
        </w:rPr>
        <w:t>the End of Life O</w:t>
      </w:r>
      <w:r w:rsidR="00F1328B">
        <w:rPr>
          <w:rFonts w:cs="Times New Roman"/>
        </w:rPr>
        <w:t>ption Act (EOLA) in California to expand options for adults with an incurable illness or disease that will result in their natural death who want, and qualify for, aid-in-dying medicine.</w:t>
      </w:r>
    </w:p>
    <w:p w14:paraId="197F472B" w14:textId="77777777" w:rsidR="00F264E1" w:rsidRPr="002441EC" w:rsidRDefault="00F264E1" w:rsidP="00F264E1">
      <w:pPr>
        <w:suppressAutoHyphens w:val="0"/>
        <w:jc w:val="both"/>
        <w:rPr>
          <w:lang w:eastAsia="en-US"/>
        </w:rPr>
      </w:pPr>
    </w:p>
    <w:p w14:paraId="42D9EC33" w14:textId="4DA1F014" w:rsidR="00F264E1" w:rsidRPr="002441EC" w:rsidRDefault="00F264E1" w:rsidP="00F264E1">
      <w:pPr>
        <w:suppressAutoHyphens w:val="0"/>
        <w:jc w:val="both"/>
        <w:rPr>
          <w:lang w:eastAsia="en-US"/>
        </w:rPr>
      </w:pPr>
      <w:r w:rsidRPr="002441EC">
        <w:rPr>
          <w:color w:val="000000"/>
          <w:lang w:eastAsia="en-US"/>
        </w:rPr>
        <w:t>[</w:t>
      </w:r>
      <w:r w:rsidR="00FC2D8D" w:rsidRPr="002441EC">
        <w:rPr>
          <w:i/>
          <w:color w:val="000000"/>
          <w:highlight w:val="green"/>
          <w:lang w:eastAsia="en-US"/>
        </w:rPr>
        <w:t>Optional:</w:t>
      </w:r>
      <w:r w:rsidR="00181D09">
        <w:rPr>
          <w:i/>
          <w:color w:val="000000"/>
          <w:highlight w:val="green"/>
          <w:lang w:eastAsia="en-US"/>
        </w:rPr>
        <w:t xml:space="preserve"> Insert personal story / reason why you are in support of SB 1196</w:t>
      </w:r>
      <w:r w:rsidRPr="002441EC">
        <w:rPr>
          <w:color w:val="000000"/>
          <w:lang w:eastAsia="en-US"/>
        </w:rPr>
        <w:t>]</w:t>
      </w:r>
    </w:p>
    <w:p w14:paraId="3D47477B" w14:textId="1F7D9B3C" w:rsidR="00F264E1" w:rsidRDefault="00F264E1" w:rsidP="00F264E1">
      <w:pPr>
        <w:suppressAutoHyphens w:val="0"/>
        <w:jc w:val="both"/>
        <w:rPr>
          <w:lang w:eastAsia="en-US"/>
        </w:rPr>
      </w:pPr>
    </w:p>
    <w:p w14:paraId="489EFD50" w14:textId="5524EA3E" w:rsidR="00E63C2A" w:rsidRPr="002441EC" w:rsidRDefault="00E63C2A" w:rsidP="00E63C2A">
      <w:pPr>
        <w:suppressAutoHyphens w:val="0"/>
        <w:jc w:val="both"/>
        <w:rPr>
          <w:lang w:eastAsia="en-US"/>
        </w:rPr>
      </w:pPr>
      <w:r w:rsidRPr="002441EC">
        <w:rPr>
          <w:color w:val="000000"/>
          <w:lang w:eastAsia="en-US"/>
        </w:rPr>
        <w:t>[</w:t>
      </w:r>
      <w:r w:rsidRPr="002441EC">
        <w:rPr>
          <w:i/>
          <w:color w:val="000000"/>
          <w:highlight w:val="green"/>
          <w:lang w:eastAsia="en-US"/>
        </w:rPr>
        <w:t>Optional:</w:t>
      </w:r>
      <w:r>
        <w:rPr>
          <w:i/>
          <w:color w:val="000000"/>
          <w:highlight w:val="green"/>
          <w:lang w:eastAsia="en-US"/>
        </w:rPr>
        <w:t xml:space="preserve"> Use as much or as little of the content below for your personal letter of support</w:t>
      </w:r>
      <w:r w:rsidRPr="002441EC">
        <w:rPr>
          <w:color w:val="000000"/>
          <w:lang w:eastAsia="en-US"/>
        </w:rPr>
        <w:t>]</w:t>
      </w:r>
    </w:p>
    <w:p w14:paraId="49778B08" w14:textId="0A1D96EA" w:rsidR="00E63C2A" w:rsidRPr="002441EC" w:rsidRDefault="00E63C2A" w:rsidP="00F264E1">
      <w:pPr>
        <w:suppressAutoHyphens w:val="0"/>
        <w:jc w:val="both"/>
        <w:rPr>
          <w:lang w:eastAsia="en-US"/>
        </w:rPr>
      </w:pPr>
    </w:p>
    <w:p w14:paraId="29F59544" w14:textId="0EE6E60A" w:rsidR="002441EC" w:rsidRPr="002441EC" w:rsidRDefault="000C5D5A" w:rsidP="002441EC">
      <w:pPr>
        <w:jc w:val="both"/>
        <w:rPr>
          <w:rFonts w:eastAsia="Calibri"/>
        </w:rPr>
      </w:pPr>
      <w:r w:rsidRPr="002441EC">
        <w:t>California made tremendous progress in adopting the EOLA in 2015</w:t>
      </w:r>
      <w:r w:rsidR="00063971" w:rsidRPr="002441EC">
        <w:t>.</w:t>
      </w:r>
      <w:r w:rsidR="002441EC" w:rsidRPr="002441EC">
        <w:t xml:space="preserve"> The EOLA </w:t>
      </w:r>
      <w:r w:rsidR="00181D09">
        <w:t xml:space="preserve">currently </w:t>
      </w:r>
      <w:r w:rsidR="002441EC" w:rsidRPr="002441EC">
        <w:rPr>
          <w:rFonts w:eastAsia="Calibri"/>
        </w:rPr>
        <w:t xml:space="preserve">allows an adult with a terminal disease to request and receive an aid-in-dying </w:t>
      </w:r>
      <w:r w:rsidR="00F1328B">
        <w:rPr>
          <w:rFonts w:eastAsia="Calibri"/>
        </w:rPr>
        <w:t>medicine</w:t>
      </w:r>
      <w:r w:rsidR="002441EC" w:rsidRPr="002441EC">
        <w:rPr>
          <w:rFonts w:eastAsia="Calibri"/>
        </w:rPr>
        <w:t xml:space="preserve"> under certain conditions. EOLA has several safeguards. These include requiring a doctor to determine that the person has the capacity to make informed medical decisions and is not making the request under undue influence of another. The person must be reminded of alternative options, such as </w:t>
      </w:r>
      <w:r w:rsidR="00181D09">
        <w:rPr>
          <w:rFonts w:eastAsia="Calibri"/>
        </w:rPr>
        <w:t>palliative care or pain control</w:t>
      </w:r>
      <w:r w:rsidR="002441EC" w:rsidRPr="002441EC">
        <w:rPr>
          <w:rFonts w:eastAsia="Calibri"/>
        </w:rPr>
        <w:t xml:space="preserve">, and that they can change their mind at any time. The diagnosis and prognosis must be confirmed by a second provider. Existing law also protects a person who is present when the aid-in-dying </w:t>
      </w:r>
      <w:r w:rsidR="00F1328B">
        <w:rPr>
          <w:rFonts w:eastAsia="Calibri"/>
        </w:rPr>
        <w:t>medicine</w:t>
      </w:r>
      <w:r w:rsidR="002441EC" w:rsidRPr="002441EC">
        <w:rPr>
          <w:rFonts w:eastAsia="Calibri"/>
        </w:rPr>
        <w:t xml:space="preserve"> is ingested from criminal and civil liability, provided they do not assist the person’s self-administration of the </w:t>
      </w:r>
      <w:r w:rsidR="00F1328B">
        <w:rPr>
          <w:rFonts w:eastAsia="Calibri"/>
        </w:rPr>
        <w:t>medicine</w:t>
      </w:r>
      <w:r w:rsidR="002441EC" w:rsidRPr="002441EC">
        <w:rPr>
          <w:rFonts w:eastAsia="Calibri"/>
        </w:rPr>
        <w:t xml:space="preserve">. Further, no healthcare provider, entity, or organization is subject to any legal or professional disciplinary action for good faith participation or refusing to participate. </w:t>
      </w:r>
    </w:p>
    <w:p w14:paraId="69D69B01" w14:textId="4D6C21BA" w:rsidR="002441EC" w:rsidRPr="002441EC" w:rsidRDefault="002441EC" w:rsidP="002441EC">
      <w:pPr>
        <w:jc w:val="both"/>
        <w:rPr>
          <w:rFonts w:eastAsia="Calibri"/>
        </w:rPr>
      </w:pPr>
    </w:p>
    <w:p w14:paraId="4856B61C" w14:textId="78196222" w:rsidR="002441EC" w:rsidRPr="002441EC" w:rsidRDefault="002441EC" w:rsidP="002441EC">
      <w:pPr>
        <w:pStyle w:val="NormalWeb"/>
        <w:spacing w:before="0" w:beforeAutospacing="0" w:after="0" w:afterAutospacing="0"/>
        <w:jc w:val="both"/>
        <w:rPr>
          <w:color w:val="000000"/>
        </w:rPr>
      </w:pPr>
      <w:r w:rsidRPr="002441EC">
        <w:rPr>
          <w:color w:val="000000"/>
        </w:rPr>
        <w:t xml:space="preserve">Since becoming law in 2016, it has become clear two provisions are needlessly excluding many Californians from accessing aid-in-dying </w:t>
      </w:r>
      <w:r w:rsidR="00F1328B">
        <w:rPr>
          <w:color w:val="000000"/>
        </w:rPr>
        <w:t>medicine</w:t>
      </w:r>
      <w:r w:rsidRPr="002441EC">
        <w:rPr>
          <w:color w:val="000000"/>
        </w:rPr>
        <w:t xml:space="preserve">s. First is the </w:t>
      </w:r>
      <w:proofErr w:type="gramStart"/>
      <w:r w:rsidRPr="002441EC">
        <w:rPr>
          <w:color w:val="000000"/>
        </w:rPr>
        <w:t>6 month</w:t>
      </w:r>
      <w:proofErr w:type="gramEnd"/>
      <w:r w:rsidRPr="002441EC">
        <w:rPr>
          <w:color w:val="000000"/>
        </w:rPr>
        <w:t xml:space="preserve"> prognosis required to qualify as a terminal illness. Research results are </w:t>
      </w:r>
      <w:hyperlink r:id="rId7" w:history="1">
        <w:r w:rsidRPr="002441EC">
          <w:rPr>
            <w:rStyle w:val="Hyperlink"/>
          </w:rPr>
          <w:t>mixed</w:t>
        </w:r>
      </w:hyperlink>
      <w:r w:rsidRPr="002441EC">
        <w:rPr>
          <w:color w:val="000000"/>
        </w:rPr>
        <w:t xml:space="preserve"> on the </w:t>
      </w:r>
      <w:hyperlink r:id="rId8" w:history="1">
        <w:r w:rsidRPr="002441EC">
          <w:rPr>
            <w:rStyle w:val="Hyperlink"/>
          </w:rPr>
          <w:t>accuracy</w:t>
        </w:r>
      </w:hyperlink>
      <w:r w:rsidRPr="002441EC">
        <w:rPr>
          <w:color w:val="000000"/>
        </w:rPr>
        <w:t xml:space="preserve"> of prognostic estimates, with higher accuracy the </w:t>
      </w:r>
      <w:hyperlink r:id="rId9" w:history="1">
        <w:r w:rsidRPr="002441EC">
          <w:rPr>
            <w:rStyle w:val="Hyperlink"/>
          </w:rPr>
          <w:t>closer</w:t>
        </w:r>
      </w:hyperlink>
      <w:r w:rsidRPr="002441EC">
        <w:rPr>
          <w:color w:val="000000"/>
        </w:rPr>
        <w:t xml:space="preserve"> the patient is to death (within days to weeks). Relying on a faulty metric can result in improper determination of whether a person has a “terminal disease.” Further, people with </w:t>
      </w:r>
      <w:hyperlink r:id="rId10" w:history="1">
        <w:r w:rsidRPr="002441EC">
          <w:rPr>
            <w:rStyle w:val="Hyperlink"/>
          </w:rPr>
          <w:t>dementia</w:t>
        </w:r>
      </w:hyperlink>
      <w:r w:rsidRPr="002441EC">
        <w:rPr>
          <w:color w:val="000000"/>
        </w:rPr>
        <w:t xml:space="preserve"> and other progressive neurological conditions will likely lose the required cognitive capacity to obtain and the physical capacity to ingest aid-in-dying medication well before they have only six months of life expectancy.</w:t>
      </w:r>
    </w:p>
    <w:p w14:paraId="199A4900" w14:textId="519654B1" w:rsidR="00063971" w:rsidRPr="002441EC" w:rsidRDefault="00063971" w:rsidP="00063971">
      <w:pPr>
        <w:pStyle w:val="Body"/>
        <w:keepNext/>
        <w:jc w:val="both"/>
        <w:outlineLvl w:val="1"/>
        <w:rPr>
          <w:rFonts w:cs="Times New Roman"/>
        </w:rPr>
      </w:pPr>
    </w:p>
    <w:p w14:paraId="4F79E081" w14:textId="50F1E74F" w:rsidR="00F1328B" w:rsidRDefault="002441EC" w:rsidP="002441EC">
      <w:pPr>
        <w:pStyle w:val="NormalWeb"/>
        <w:spacing w:before="0" w:beforeAutospacing="0" w:after="0" w:afterAutospacing="0"/>
        <w:jc w:val="both"/>
        <w:rPr>
          <w:color w:val="000000"/>
        </w:rPr>
      </w:pPr>
      <w:r w:rsidRPr="002441EC">
        <w:rPr>
          <w:color w:val="000000"/>
        </w:rPr>
        <w:t xml:space="preserve">The second issue with the EOLA is limiting how the aid-in-dying </w:t>
      </w:r>
      <w:r w:rsidR="00F1328B">
        <w:rPr>
          <w:color w:val="000000"/>
        </w:rPr>
        <w:t>medicine</w:t>
      </w:r>
      <w:r w:rsidRPr="002441EC">
        <w:rPr>
          <w:color w:val="000000"/>
        </w:rPr>
        <w:t xml:space="preserve"> can be taken; specifically, it must be ingested. Typically that means the medicine must be taken by mouth or otherwise entered into the digestive tract. However, many patients may lose their ability to hold a cup, swallow, or have the strength and coordination to use a syringe. In addition, the aid-in-dying </w:t>
      </w:r>
      <w:r w:rsidR="00F1328B">
        <w:rPr>
          <w:color w:val="000000"/>
        </w:rPr>
        <w:t>medicine</w:t>
      </w:r>
      <w:r w:rsidRPr="002441EC">
        <w:rPr>
          <w:color w:val="000000"/>
        </w:rPr>
        <w:t xml:space="preserve"> can cause painful burning of the esophagus or even vomiting, even if an antiemetic medication is taken first.  The person may not have enough of the medication to be most effective or even effective at all.</w:t>
      </w:r>
    </w:p>
    <w:p w14:paraId="6B43AA86" w14:textId="1DF1C068" w:rsidR="00F1328B" w:rsidRDefault="00F1328B" w:rsidP="002441EC">
      <w:pPr>
        <w:pStyle w:val="NormalWeb"/>
        <w:spacing w:before="0" w:beforeAutospacing="0" w:after="0" w:afterAutospacing="0"/>
        <w:jc w:val="both"/>
        <w:rPr>
          <w:color w:val="000000"/>
        </w:rPr>
      </w:pPr>
    </w:p>
    <w:p w14:paraId="5E6F14A5" w14:textId="4B13C022" w:rsidR="00F1328B" w:rsidRPr="00F1328B" w:rsidRDefault="00F1328B" w:rsidP="002441EC">
      <w:pPr>
        <w:pStyle w:val="NormalWeb"/>
        <w:spacing w:before="0" w:beforeAutospacing="0" w:after="0" w:afterAutospacing="0"/>
        <w:jc w:val="both"/>
        <w:rPr>
          <w:color w:val="000000"/>
        </w:rPr>
      </w:pPr>
      <w:r>
        <w:rPr>
          <w:color w:val="000000"/>
        </w:rPr>
        <w:t xml:space="preserve">In order to achieve the intent of the original law, SB 1196 will (1) replace “terminal disease” with “a grievous and irremediable medical condition” that is defined by a set of </w:t>
      </w:r>
      <w:r w:rsidR="00FA41BA">
        <w:rPr>
          <w:color w:val="000000"/>
        </w:rPr>
        <w:t>criteria</w:t>
      </w:r>
      <w:r>
        <w:rPr>
          <w:color w:val="000000"/>
        </w:rPr>
        <w:t xml:space="preserve">, (2) expand the EOLA to those with early- to mid-stage dementia, (3) allow for aid-in-dying medicine to be received through </w:t>
      </w:r>
      <w:r>
        <w:rPr>
          <w:color w:val="000000"/>
        </w:rPr>
        <w:lastRenderedPageBreak/>
        <w:t xml:space="preserve">an intravenous infusion that is self-administered by the patient, </w:t>
      </w:r>
      <w:r w:rsidR="00FA41BA">
        <w:rPr>
          <w:color w:val="000000"/>
        </w:rPr>
        <w:t>(4</w:t>
      </w:r>
      <w:r>
        <w:rPr>
          <w:color w:val="000000"/>
        </w:rPr>
        <w:t>) removes the Californ</w:t>
      </w:r>
      <w:r w:rsidR="00FA41BA">
        <w:rPr>
          <w:color w:val="000000"/>
        </w:rPr>
        <w:t>ia residency requirement, and (5</w:t>
      </w:r>
      <w:r>
        <w:rPr>
          <w:color w:val="000000"/>
        </w:rPr>
        <w:t xml:space="preserve">) removes the 2031 sunset date. </w:t>
      </w:r>
      <w:r w:rsidR="00A5460F">
        <w:rPr>
          <w:color w:val="000000"/>
        </w:rPr>
        <w:t xml:space="preserve">Nothing in SB 1196 changes existing safeguards or liability protections contained in the current law. </w:t>
      </w:r>
    </w:p>
    <w:p w14:paraId="5FA878B0" w14:textId="77777777" w:rsidR="002441EC" w:rsidRPr="002441EC" w:rsidRDefault="002441EC" w:rsidP="00063971">
      <w:pPr>
        <w:pStyle w:val="BodyA"/>
        <w:spacing w:after="0"/>
        <w:jc w:val="both"/>
        <w:rPr>
          <w:rFonts w:cs="Times New Roman"/>
          <w:sz w:val="24"/>
          <w:szCs w:val="24"/>
        </w:rPr>
      </w:pPr>
    </w:p>
    <w:p w14:paraId="450F0297" w14:textId="615AEAF4" w:rsidR="00F264E1" w:rsidRPr="00AE4E6B" w:rsidRDefault="00A5460F" w:rsidP="00F264E1">
      <w:pPr>
        <w:suppressAutoHyphens w:val="0"/>
        <w:jc w:val="both"/>
        <w:rPr>
          <w:lang w:eastAsia="en-US"/>
        </w:rPr>
      </w:pPr>
      <w:r>
        <w:rPr>
          <w:color w:val="000000"/>
          <w:lang w:eastAsia="en-US"/>
        </w:rPr>
        <w:t xml:space="preserve">Expanding the EOLA is primarily about maintaining options for those nearing their end-of-life and providing individuals the medical autonomy to make decisions that best serve </w:t>
      </w:r>
      <w:r>
        <w:rPr>
          <w:i/>
          <w:color w:val="000000"/>
          <w:lang w:eastAsia="en-US"/>
        </w:rPr>
        <w:t>their needs</w:t>
      </w:r>
      <w:r>
        <w:rPr>
          <w:color w:val="000000"/>
          <w:lang w:eastAsia="en-US"/>
        </w:rPr>
        <w:t xml:space="preserve">. </w:t>
      </w:r>
      <w:r w:rsidR="00F264E1" w:rsidRPr="002441EC">
        <w:rPr>
          <w:color w:val="000000"/>
          <w:lang w:eastAsia="en-US"/>
        </w:rPr>
        <w:t>For these reasons,</w:t>
      </w:r>
      <w:r w:rsidR="00FC2D8D" w:rsidRPr="002441EC">
        <w:rPr>
          <w:color w:val="000000"/>
          <w:lang w:eastAsia="en-US"/>
        </w:rPr>
        <w:t xml:space="preserve"> </w:t>
      </w:r>
      <w:r w:rsidR="00181D09">
        <w:rPr>
          <w:color w:val="000000"/>
          <w:lang w:eastAsia="en-US"/>
        </w:rPr>
        <w:t>I am</w:t>
      </w:r>
      <w:r w:rsidR="00FC2D8D" w:rsidRPr="002441EC">
        <w:rPr>
          <w:color w:val="000000"/>
          <w:lang w:eastAsia="en-US"/>
        </w:rPr>
        <w:t xml:space="preserve"> in strong support</w:t>
      </w:r>
      <w:r w:rsidR="00FC2D8D" w:rsidRPr="00AE4E6B">
        <w:rPr>
          <w:color w:val="000000"/>
          <w:lang w:eastAsia="en-US"/>
        </w:rPr>
        <w:t xml:space="preserve"> of </w:t>
      </w:r>
      <w:r w:rsidR="00AD3616">
        <w:rPr>
          <w:color w:val="000000"/>
          <w:lang w:eastAsia="en-US"/>
        </w:rPr>
        <w:t>SB</w:t>
      </w:r>
      <w:r w:rsidR="00FC2D8D" w:rsidRPr="00AE4E6B">
        <w:rPr>
          <w:color w:val="000000"/>
          <w:lang w:eastAsia="en-US"/>
        </w:rPr>
        <w:t xml:space="preserve"> </w:t>
      </w:r>
      <w:r w:rsidR="002441EC">
        <w:rPr>
          <w:color w:val="000000"/>
          <w:lang w:eastAsia="en-US"/>
        </w:rPr>
        <w:t>1196 (Blakespear</w:t>
      </w:r>
      <w:r w:rsidR="00FC2D8D" w:rsidRPr="00AE4E6B">
        <w:rPr>
          <w:color w:val="000000"/>
          <w:lang w:eastAsia="en-US"/>
        </w:rPr>
        <w:t>). Please contact me at [</w:t>
      </w:r>
      <w:r w:rsidR="00FC2D8D" w:rsidRPr="00AE4E6B">
        <w:rPr>
          <w:i/>
          <w:color w:val="000000"/>
          <w:highlight w:val="green"/>
          <w:lang w:eastAsia="en-US"/>
        </w:rPr>
        <w:t>insert contact information</w:t>
      </w:r>
      <w:r w:rsidR="00FC2D8D" w:rsidRPr="00AE4E6B">
        <w:rPr>
          <w:color w:val="000000"/>
          <w:lang w:eastAsia="en-US"/>
        </w:rPr>
        <w:t xml:space="preserve">] for any questions about </w:t>
      </w:r>
      <w:r w:rsidR="00181D09">
        <w:rPr>
          <w:color w:val="000000"/>
          <w:lang w:eastAsia="en-US"/>
        </w:rPr>
        <w:t>my</w:t>
      </w:r>
      <w:r w:rsidR="00FC2D8D" w:rsidRPr="00AE4E6B">
        <w:rPr>
          <w:color w:val="000000"/>
          <w:lang w:eastAsia="en-US"/>
        </w:rPr>
        <w:t xml:space="preserve"> position.</w:t>
      </w:r>
    </w:p>
    <w:p w14:paraId="6BE3404E" w14:textId="77777777" w:rsidR="00F264E1" w:rsidRPr="00AE4E6B" w:rsidRDefault="00F264E1" w:rsidP="00F264E1">
      <w:pPr>
        <w:suppressAutoHyphens w:val="0"/>
        <w:jc w:val="both"/>
        <w:rPr>
          <w:lang w:eastAsia="en-US"/>
        </w:rPr>
      </w:pPr>
    </w:p>
    <w:p w14:paraId="0826EE4B" w14:textId="77777777" w:rsidR="00F264E1" w:rsidRPr="00AE4E6B" w:rsidRDefault="00F264E1" w:rsidP="00F264E1">
      <w:pPr>
        <w:suppressAutoHyphens w:val="0"/>
        <w:jc w:val="both"/>
        <w:rPr>
          <w:lang w:eastAsia="en-US"/>
        </w:rPr>
      </w:pPr>
      <w:r w:rsidRPr="00AE4E6B">
        <w:rPr>
          <w:color w:val="000000"/>
          <w:lang w:eastAsia="en-US"/>
        </w:rPr>
        <w:t>Sincerely,</w:t>
      </w:r>
    </w:p>
    <w:p w14:paraId="589073C2" w14:textId="77777777" w:rsidR="00F264E1" w:rsidRPr="00AE4E6B" w:rsidRDefault="00F264E1" w:rsidP="00F264E1">
      <w:pPr>
        <w:suppressAutoHyphens w:val="0"/>
        <w:spacing w:after="240"/>
        <w:jc w:val="both"/>
        <w:rPr>
          <w:lang w:eastAsia="en-US"/>
        </w:rPr>
      </w:pPr>
    </w:p>
    <w:p w14:paraId="38B5C260" w14:textId="77777777" w:rsidR="00F264E1" w:rsidRPr="00AE4E6B" w:rsidRDefault="00F264E1" w:rsidP="00FC2D8D">
      <w:r w:rsidRPr="00AE4E6B">
        <w:t>[</w:t>
      </w:r>
      <w:r w:rsidRPr="00AE4E6B">
        <w:rPr>
          <w:i/>
          <w:highlight w:val="green"/>
        </w:rPr>
        <w:t>Name</w:t>
      </w:r>
      <w:r w:rsidRPr="00AE4E6B">
        <w:t>]</w:t>
      </w:r>
    </w:p>
    <w:p w14:paraId="3595076B" w14:textId="1D2FE16E" w:rsidR="00C51C8C" w:rsidRPr="00AE4E6B" w:rsidRDefault="00FC2D8D" w:rsidP="00FC2D8D">
      <w:r w:rsidRPr="00AE4E6B">
        <w:t>[</w:t>
      </w:r>
      <w:r w:rsidR="00D741C8" w:rsidRPr="00D741C8">
        <w:rPr>
          <w:i/>
          <w:highlight w:val="green"/>
        </w:rPr>
        <w:t>City</w:t>
      </w:r>
      <w:r w:rsidRPr="00AE4E6B">
        <w:t>]</w:t>
      </w:r>
    </w:p>
    <w:p w14:paraId="2C3ED6AC" w14:textId="77777777" w:rsidR="00F264E1" w:rsidRPr="00AE4E6B" w:rsidRDefault="00F264E1" w:rsidP="00FC2D8D">
      <w:pPr>
        <w:pBdr>
          <w:top w:val="nil"/>
          <w:left w:val="nil"/>
          <w:bottom w:val="nil"/>
          <w:right w:val="nil"/>
          <w:between w:val="nil"/>
        </w:pBdr>
        <w:jc w:val="both"/>
        <w:rPr>
          <w:rFonts w:eastAsia="Arial"/>
        </w:rPr>
      </w:pPr>
    </w:p>
    <w:sectPr w:rsidR="00F264E1" w:rsidRPr="00AE4E6B">
      <w:headerReference w:type="even" r:id="rId11"/>
      <w:footerReference w:type="first" r:id="rId12"/>
      <w:pgSz w:w="12240" w:h="15840"/>
      <w:pgMar w:top="1152" w:right="1296" w:bottom="1152" w:left="1296"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D2D6" w14:textId="77777777" w:rsidR="001F373E" w:rsidRDefault="001F373E">
      <w:r>
        <w:separator/>
      </w:r>
    </w:p>
  </w:endnote>
  <w:endnote w:type="continuationSeparator" w:id="0">
    <w:p w14:paraId="5DC4F6E4" w14:textId="77777777" w:rsidR="001F373E" w:rsidRDefault="001F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39275E" w:rsidRDefault="0039275E">
    <w:pPr>
      <w:pBdr>
        <w:top w:val="nil"/>
        <w:left w:val="nil"/>
        <w:bottom w:val="nil"/>
        <w:right w:val="nil"/>
        <w:between w:val="nil"/>
      </w:pBdr>
      <w:tabs>
        <w:tab w:val="center" w:pos="4680"/>
        <w:tab w:val="right" w:pos="9360"/>
      </w:tabs>
      <w:ind w:right="-1152"/>
      <w:jc w:val="center"/>
      <w:rPr>
        <w:rFonts w:ascii="Arial" w:eastAsia="Arial" w:hAnsi="Arial" w:cs="Arial"/>
        <w:color w:val="0079C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1AC6" w14:textId="77777777" w:rsidR="001F373E" w:rsidRDefault="001F373E">
      <w:r>
        <w:separator/>
      </w:r>
    </w:p>
  </w:footnote>
  <w:footnote w:type="continuationSeparator" w:id="0">
    <w:p w14:paraId="772D95CD" w14:textId="77777777" w:rsidR="001F373E" w:rsidRDefault="001F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39275E" w:rsidRDefault="0039275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75E"/>
    <w:rsid w:val="00063971"/>
    <w:rsid w:val="00083664"/>
    <w:rsid w:val="000C5D5A"/>
    <w:rsid w:val="000E72E5"/>
    <w:rsid w:val="001257FA"/>
    <w:rsid w:val="00181D09"/>
    <w:rsid w:val="001F0FF2"/>
    <w:rsid w:val="001F373E"/>
    <w:rsid w:val="002441EC"/>
    <w:rsid w:val="002F3490"/>
    <w:rsid w:val="00303921"/>
    <w:rsid w:val="003225F4"/>
    <w:rsid w:val="00324456"/>
    <w:rsid w:val="0039275E"/>
    <w:rsid w:val="003C538B"/>
    <w:rsid w:val="00427C5B"/>
    <w:rsid w:val="00526809"/>
    <w:rsid w:val="006361FA"/>
    <w:rsid w:val="006E466E"/>
    <w:rsid w:val="007F170D"/>
    <w:rsid w:val="00924CBE"/>
    <w:rsid w:val="00946C14"/>
    <w:rsid w:val="00983F0A"/>
    <w:rsid w:val="009F5167"/>
    <w:rsid w:val="00A5460F"/>
    <w:rsid w:val="00A927B2"/>
    <w:rsid w:val="00AD3616"/>
    <w:rsid w:val="00AE4E6B"/>
    <w:rsid w:val="00B32895"/>
    <w:rsid w:val="00C413AC"/>
    <w:rsid w:val="00C51C8C"/>
    <w:rsid w:val="00CC2DA7"/>
    <w:rsid w:val="00CE2DE5"/>
    <w:rsid w:val="00D247C2"/>
    <w:rsid w:val="00D741C8"/>
    <w:rsid w:val="00DE145E"/>
    <w:rsid w:val="00E24104"/>
    <w:rsid w:val="00E63C2A"/>
    <w:rsid w:val="00EA6911"/>
    <w:rsid w:val="00EC3AB8"/>
    <w:rsid w:val="00F1328B"/>
    <w:rsid w:val="00F264E1"/>
    <w:rsid w:val="00F31EEC"/>
    <w:rsid w:val="00F75A79"/>
    <w:rsid w:val="00F95B5E"/>
    <w:rsid w:val="00FA41BA"/>
    <w:rsid w:val="00FC2D8D"/>
    <w:rsid w:val="00FC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CEBAF"/>
  <w15:docId w15:val="{11837E2A-AA7A-4C59-88D4-3841937D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A5D"/>
    <w:pPr>
      <w:suppressAutoHyphens/>
    </w:pPr>
    <w:rPr>
      <w:lang w:eastAsia="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2">
    <w:name w:val="Style2"/>
    <w:basedOn w:val="Normal"/>
    <w:rsid w:val="00F51D56"/>
    <w:pPr>
      <w:suppressAutoHyphens w:val="0"/>
      <w:jc w:val="center"/>
    </w:pPr>
    <w:rPr>
      <w:rFonts w:ascii="Arial Black" w:hAnsi="Arial Black" w:cs="Arial"/>
      <w:b/>
      <w:sz w:val="44"/>
      <w:szCs w:val="44"/>
      <w:lang w:eastAsia="en-US"/>
    </w:rPr>
  </w:style>
  <w:style w:type="paragraph" w:customStyle="1" w:styleId="Style4">
    <w:name w:val="Style4"/>
    <w:basedOn w:val="Normal"/>
    <w:rsid w:val="00F51D56"/>
    <w:pPr>
      <w:suppressAutoHyphens w:val="0"/>
      <w:jc w:val="center"/>
    </w:pPr>
    <w:rPr>
      <w:rFonts w:ascii="Arial Black" w:hAnsi="Arial Black" w:cs="Arial"/>
      <w:b/>
      <w:sz w:val="36"/>
      <w:szCs w:val="44"/>
      <w:lang w:eastAsia="en-US"/>
    </w:rPr>
  </w:style>
  <w:style w:type="paragraph" w:customStyle="1" w:styleId="Style5">
    <w:name w:val="Style5"/>
    <w:basedOn w:val="Normal"/>
    <w:autoRedefine/>
    <w:rsid w:val="00F51D56"/>
    <w:pPr>
      <w:suppressAutoHyphens w:val="0"/>
      <w:jc w:val="center"/>
    </w:pPr>
    <w:rPr>
      <w:rFonts w:ascii="Arial Black" w:hAnsi="Arial Black" w:cs="Arial"/>
      <w:b/>
      <w:sz w:val="36"/>
      <w:szCs w:val="44"/>
      <w:lang w:eastAsia="en-US"/>
    </w:rPr>
  </w:style>
  <w:style w:type="paragraph" w:customStyle="1" w:styleId="Style6">
    <w:name w:val="Style6"/>
    <w:basedOn w:val="Normal"/>
    <w:autoRedefine/>
    <w:rsid w:val="00F51D56"/>
    <w:pPr>
      <w:suppressAutoHyphens w:val="0"/>
      <w:jc w:val="center"/>
    </w:pPr>
    <w:rPr>
      <w:rFonts w:ascii="Arial Black" w:hAnsi="Arial Black" w:cs="Arial"/>
      <w:b/>
      <w:sz w:val="36"/>
      <w:szCs w:val="64"/>
      <w:lang w:eastAsia="en-US"/>
    </w:rPr>
  </w:style>
  <w:style w:type="paragraph" w:styleId="Header">
    <w:name w:val="header"/>
    <w:basedOn w:val="Normal"/>
    <w:link w:val="HeaderChar"/>
    <w:rsid w:val="00420E80"/>
    <w:pPr>
      <w:tabs>
        <w:tab w:val="center" w:pos="4680"/>
        <w:tab w:val="right" w:pos="9360"/>
      </w:tabs>
      <w:suppressAutoHyphens w:val="0"/>
    </w:pPr>
    <w:rPr>
      <w:lang w:eastAsia="en-US"/>
    </w:rPr>
  </w:style>
  <w:style w:type="character" w:customStyle="1" w:styleId="HeaderChar">
    <w:name w:val="Header Char"/>
    <w:link w:val="Header"/>
    <w:rsid w:val="00420E80"/>
    <w:rPr>
      <w:sz w:val="24"/>
      <w:szCs w:val="24"/>
    </w:rPr>
  </w:style>
  <w:style w:type="paragraph" w:styleId="Footer">
    <w:name w:val="footer"/>
    <w:basedOn w:val="Normal"/>
    <w:link w:val="FooterChar"/>
    <w:rsid w:val="00420E80"/>
    <w:pPr>
      <w:tabs>
        <w:tab w:val="center" w:pos="4680"/>
        <w:tab w:val="right" w:pos="9360"/>
      </w:tabs>
      <w:suppressAutoHyphens w:val="0"/>
    </w:pPr>
    <w:rPr>
      <w:lang w:eastAsia="en-US"/>
    </w:rPr>
  </w:style>
  <w:style w:type="character" w:customStyle="1" w:styleId="FooterChar">
    <w:name w:val="Footer Char"/>
    <w:link w:val="Footer"/>
    <w:rsid w:val="00420E80"/>
    <w:rPr>
      <w:sz w:val="24"/>
      <w:szCs w:val="24"/>
    </w:rPr>
  </w:style>
  <w:style w:type="paragraph" w:styleId="BalloonText">
    <w:name w:val="Balloon Text"/>
    <w:basedOn w:val="Normal"/>
    <w:link w:val="BalloonTextChar"/>
    <w:rsid w:val="000B678C"/>
    <w:pPr>
      <w:suppressAutoHyphens w:val="0"/>
    </w:pPr>
    <w:rPr>
      <w:rFonts w:ascii="Tahoma" w:hAnsi="Tahoma" w:cs="Tahoma"/>
      <w:sz w:val="16"/>
      <w:szCs w:val="16"/>
      <w:lang w:eastAsia="en-US"/>
    </w:rPr>
  </w:style>
  <w:style w:type="character" w:customStyle="1" w:styleId="BalloonTextChar">
    <w:name w:val="Balloon Text Char"/>
    <w:link w:val="BalloonText"/>
    <w:rsid w:val="000B678C"/>
    <w:rPr>
      <w:rFonts w:ascii="Tahoma" w:hAnsi="Tahoma" w:cs="Tahoma"/>
      <w:sz w:val="16"/>
      <w:szCs w:val="16"/>
    </w:rPr>
  </w:style>
  <w:style w:type="paragraph" w:styleId="EndnoteText">
    <w:name w:val="endnote text"/>
    <w:basedOn w:val="Normal"/>
    <w:link w:val="EndnoteTextChar"/>
    <w:uiPriority w:val="99"/>
    <w:rsid w:val="00C77B26"/>
    <w:rPr>
      <w:sz w:val="20"/>
      <w:szCs w:val="20"/>
    </w:rPr>
  </w:style>
  <w:style w:type="character" w:customStyle="1" w:styleId="EndnoteTextChar">
    <w:name w:val="Endnote Text Char"/>
    <w:link w:val="EndnoteText"/>
    <w:uiPriority w:val="99"/>
    <w:rsid w:val="00C77B26"/>
    <w:rPr>
      <w:lang w:eastAsia="ar-SA"/>
    </w:rPr>
  </w:style>
  <w:style w:type="character" w:styleId="EndnoteReference">
    <w:name w:val="endnote reference"/>
    <w:uiPriority w:val="99"/>
    <w:unhideWhenUsed/>
    <w:rsid w:val="00C77B26"/>
    <w:rPr>
      <w:vertAlign w:val="superscript"/>
    </w:rPr>
  </w:style>
  <w:style w:type="character" w:styleId="Hyperlink">
    <w:name w:val="Hyperlink"/>
    <w:uiPriority w:val="99"/>
    <w:unhideWhenUsed/>
    <w:rsid w:val="00C77B26"/>
    <w:rPr>
      <w:color w:val="0000FF"/>
      <w:u w:val="single"/>
    </w:rPr>
  </w:style>
  <w:style w:type="paragraph" w:styleId="FootnoteText">
    <w:name w:val="footnote text"/>
    <w:basedOn w:val="Normal"/>
    <w:link w:val="FootnoteTextChar"/>
    <w:rsid w:val="00C77B26"/>
    <w:rPr>
      <w:sz w:val="20"/>
      <w:szCs w:val="20"/>
    </w:rPr>
  </w:style>
  <w:style w:type="character" w:customStyle="1" w:styleId="FootnoteTextChar">
    <w:name w:val="Footnote Text Char"/>
    <w:link w:val="FootnoteText"/>
    <w:rsid w:val="00C77B26"/>
    <w:rPr>
      <w:lang w:eastAsia="ar-SA"/>
    </w:rPr>
  </w:style>
  <w:style w:type="character" w:styleId="FootnoteReference">
    <w:name w:val="footnote reference"/>
    <w:rsid w:val="00C77B26"/>
    <w:rPr>
      <w:vertAlign w:val="superscript"/>
    </w:rPr>
  </w:style>
  <w:style w:type="character" w:customStyle="1" w:styleId="apple-converted-space">
    <w:name w:val="apple-converted-space"/>
    <w:basedOn w:val="DefaultParagraphFont"/>
    <w:rsid w:val="00C5612C"/>
  </w:style>
  <w:style w:type="paragraph" w:customStyle="1" w:styleId="Default">
    <w:name w:val="Default"/>
    <w:rsid w:val="00491A56"/>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934A7E"/>
    <w:pPr>
      <w:suppressAutoHyphens w:val="0"/>
      <w:spacing w:before="100" w:beforeAutospacing="1" w:after="100" w:afterAutospacing="1"/>
    </w:pPr>
    <w:rPr>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A927B2"/>
    <w:pPr>
      <w:pBdr>
        <w:top w:val="nil"/>
        <w:left w:val="nil"/>
        <w:bottom w:val="nil"/>
        <w:right w:val="nil"/>
        <w:between w:val="nil"/>
        <w:bar w:val="nil"/>
      </w:pBdr>
      <w:suppressAutoHyphens/>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one">
    <w:name w:val="None"/>
    <w:rsid w:val="00A927B2"/>
  </w:style>
  <w:style w:type="paragraph" w:customStyle="1" w:styleId="BodyA">
    <w:name w:val="Body A"/>
    <w:rsid w:val="00C51C8C"/>
    <w:pPr>
      <w:pBdr>
        <w:top w:val="nil"/>
        <w:left w:val="nil"/>
        <w:bottom w:val="nil"/>
        <w:right w:val="nil"/>
        <w:between w:val="nil"/>
        <w:bar w:val="nil"/>
      </w:pBdr>
      <w:spacing w:after="200"/>
    </w:pPr>
    <w:rPr>
      <w:rFonts w:eastAsia="Arial Unicode MS" w:cs="Arial Unicode MS"/>
      <w:color w:val="000000"/>
      <w:sz w:val="22"/>
      <w:szCs w:val="22"/>
      <w:u w:color="000000"/>
      <w:bdr w:val="nil"/>
      <w14:textOutline w14:w="12700" w14:cap="flat" w14:cmpd="sng" w14:algn="ctr">
        <w14:noFill/>
        <w14:prstDash w14:val="solid"/>
        <w14:miter w14:lim="400000"/>
      </w14:textOutline>
    </w:rPr>
  </w:style>
  <w:style w:type="character" w:customStyle="1" w:styleId="Hyperlink0">
    <w:name w:val="Hyperlink.0"/>
    <w:basedOn w:val="None"/>
    <w:rsid w:val="00C51C8C"/>
    <w:rPr>
      <w:outline w:val="0"/>
      <w:color w:val="0563C1"/>
      <w:u w:val="single" w:color="0563C1"/>
      <w:lang w:val="en-US"/>
    </w:rPr>
  </w:style>
  <w:style w:type="character" w:customStyle="1" w:styleId="Hyperlink1">
    <w:name w:val="Hyperlink.1"/>
    <w:basedOn w:val="None"/>
    <w:rsid w:val="00C51C8C"/>
    <w:rPr>
      <w:outline w:val="0"/>
      <w:color w:val="0563C1"/>
      <w:u w:val="single" w:color="0563C1"/>
      <w:lang w:val="de-DE"/>
    </w:rPr>
  </w:style>
  <w:style w:type="character" w:customStyle="1" w:styleId="Hyperlink2">
    <w:name w:val="Hyperlink.2"/>
    <w:basedOn w:val="None"/>
    <w:rsid w:val="00C51C8C"/>
    <w:rPr>
      <w:outline w:val="0"/>
      <w:color w:val="0563C1"/>
      <w:u w:val="single" w:color="0563C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8806">
      <w:bodyDiv w:val="1"/>
      <w:marLeft w:val="0"/>
      <w:marRight w:val="0"/>
      <w:marTop w:val="0"/>
      <w:marBottom w:val="0"/>
      <w:divBdr>
        <w:top w:val="none" w:sz="0" w:space="0" w:color="auto"/>
        <w:left w:val="none" w:sz="0" w:space="0" w:color="auto"/>
        <w:bottom w:val="none" w:sz="0" w:space="0" w:color="auto"/>
        <w:right w:val="none" w:sz="0" w:space="0" w:color="auto"/>
      </w:divBdr>
    </w:div>
    <w:div w:id="77948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2Fjournal.pone.01614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86/s12904-023-01155-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acbee.com/opinion/op-ed/article281315118.html" TargetMode="External"/><Relationship Id="rId4" Type="http://schemas.openxmlformats.org/officeDocument/2006/relationships/webSettings" Target="webSettings.xml"/><Relationship Id="rId9" Type="http://schemas.openxmlformats.org/officeDocument/2006/relationships/hyperlink" Target="https://doi.org/10.1371/journal.pone.02670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XZCRmh/l/GBLldFf05dkHoTSA==">AMUW2mVpYdf2UgZTKxnUonmVF6GyITR8+1opeeb7lwZ2rxsqZZrUVlszaN61KmcBUzkQtMKlbnm6osYqoWC3TXdh8oCN0no/HobRM2ek8dck3+HwHgEkT8JqZXqpg1lPFQkf6txgmW+/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Eileen Lyle</cp:lastModifiedBy>
  <cp:revision>2</cp:revision>
  <dcterms:created xsi:type="dcterms:W3CDTF">2024-03-21T21:43:00Z</dcterms:created>
  <dcterms:modified xsi:type="dcterms:W3CDTF">2024-03-21T21:43:00Z</dcterms:modified>
</cp:coreProperties>
</file>